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B62" w:rsidRPr="00B629E2" w:rsidRDefault="008E4AB7" w:rsidP="008E4AB7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GB"/>
        </w:rPr>
      </w:pPr>
      <w:proofErr w:type="spellStart"/>
      <w:r w:rsidRPr="00B629E2">
        <w:rPr>
          <w:rFonts w:ascii="Times New Roman" w:eastAsia="Calibri" w:hAnsi="Times New Roman" w:cs="Times New Roman"/>
          <w:b/>
          <w:sz w:val="32"/>
          <w:szCs w:val="32"/>
        </w:rPr>
        <w:t>Syllabus</w:t>
      </w:r>
      <w:proofErr w:type="spellEnd"/>
      <w:r w:rsidRPr="00B629E2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B629E2" w:rsidRPr="00B629E2">
        <w:rPr>
          <w:rFonts w:ascii="Times New Roman" w:eastAsia="Calibri" w:hAnsi="Times New Roman" w:cs="Times New Roman"/>
          <w:b/>
          <w:sz w:val="32"/>
          <w:szCs w:val="32"/>
        </w:rPr>
        <w:t xml:space="preserve">to </w:t>
      </w:r>
      <w:proofErr w:type="spellStart"/>
      <w:r w:rsidR="00B629E2" w:rsidRPr="00B629E2">
        <w:rPr>
          <w:rFonts w:ascii="Times New Roman" w:eastAsia="Calibri" w:hAnsi="Times New Roman" w:cs="Times New Roman"/>
          <w:b/>
          <w:sz w:val="32"/>
          <w:szCs w:val="32"/>
        </w:rPr>
        <w:t>the</w:t>
      </w:r>
      <w:proofErr w:type="spellEnd"/>
      <w:r w:rsidR="00B629E2" w:rsidRPr="00B629E2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proofErr w:type="spellStart"/>
      <w:r w:rsidR="00B629E2" w:rsidRPr="00B629E2">
        <w:rPr>
          <w:rFonts w:ascii="Times New Roman" w:eastAsia="Calibri" w:hAnsi="Times New Roman" w:cs="Times New Roman"/>
          <w:b/>
          <w:sz w:val="32"/>
          <w:szCs w:val="32"/>
        </w:rPr>
        <w:t>course</w:t>
      </w:r>
      <w:proofErr w:type="spellEnd"/>
      <w:r w:rsidRPr="00B629E2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="00D32181" w:rsidRPr="00B629E2">
        <w:rPr>
          <w:rFonts w:ascii="Times New Roman" w:hAnsi="Times New Roman" w:cs="Times New Roman"/>
          <w:b/>
          <w:noProof/>
          <w:sz w:val="32"/>
          <w:szCs w:val="32"/>
          <w:lang w:val="en-GB"/>
        </w:rPr>
        <w:t>Jurisprudence</w:t>
      </w:r>
      <w:r w:rsidR="00D32181" w:rsidRPr="00B629E2">
        <w:rPr>
          <w:rFonts w:ascii="Times New Roman" w:hAnsi="Times New Roman" w:cs="Times New Roman"/>
          <w:b/>
          <w:sz w:val="32"/>
          <w:szCs w:val="32"/>
          <w:lang w:val="en-GB"/>
        </w:rPr>
        <w:t xml:space="preserve"> of the European Court of Human Rights</w:t>
      </w:r>
      <w:r w:rsidR="00B629E2" w:rsidRPr="00B629E2">
        <w:rPr>
          <w:rStyle w:val="Odkaznapoznmkupodiarou"/>
          <w:rFonts w:ascii="Times New Roman" w:hAnsi="Times New Roman" w:cs="Times New Roman"/>
          <w:b/>
          <w:bCs/>
          <w:sz w:val="32"/>
          <w:szCs w:val="32"/>
        </w:rPr>
        <w:footnoteReference w:id="1"/>
      </w:r>
    </w:p>
    <w:p w:rsidR="00D32181" w:rsidRPr="00B629E2" w:rsidRDefault="00D32181" w:rsidP="008E4AB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D32181" w:rsidRPr="00B629E2" w:rsidRDefault="00D32181" w:rsidP="008E4AB7">
      <w:pPr>
        <w:spacing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b/>
          <w:bCs/>
          <w:sz w:val="24"/>
          <w:szCs w:val="24"/>
          <w:lang w:val="en-GB"/>
        </w:rPr>
        <w:t>1. Introduction to the protection of human rights and fundamental freedoms under the Convention. European Convention in the system of international instruments of protection of human rights.</w:t>
      </w:r>
    </w:p>
    <w:p w:rsidR="00D32181" w:rsidRPr="00B629E2" w:rsidRDefault="00D32181" w:rsidP="00B629E2">
      <w:pPr>
        <w:pStyle w:val="Odsekzoznamu"/>
        <w:numPr>
          <w:ilvl w:val="0"/>
          <w:numId w:val="22"/>
        </w:numPr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the making of the Convention and its evolution</w:t>
      </w:r>
    </w:p>
    <w:p w:rsidR="00D32181" w:rsidRPr="00B629E2" w:rsidRDefault="00D32181" w:rsidP="00B629E2">
      <w:pPr>
        <w:pStyle w:val="Odsekzoznamu"/>
        <w:numPr>
          <w:ilvl w:val="0"/>
          <w:numId w:val="22"/>
        </w:numPr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the position of the Convention among other means of protection of human rights</w:t>
      </w:r>
    </w:p>
    <w:p w:rsidR="00D32181" w:rsidRPr="00B629E2" w:rsidRDefault="00D32181" w:rsidP="00B629E2">
      <w:pPr>
        <w:pStyle w:val="Odsekzoznamu"/>
        <w:numPr>
          <w:ilvl w:val="0"/>
          <w:numId w:val="22"/>
        </w:numPr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function and competence of the European Court of Human Rights</w:t>
      </w:r>
    </w:p>
    <w:p w:rsidR="00D32181" w:rsidRPr="00B629E2" w:rsidRDefault="00D32181" w:rsidP="008E4A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32181" w:rsidRPr="00B629E2" w:rsidRDefault="00D32181" w:rsidP="008E4AB7">
      <w:pPr>
        <w:spacing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b/>
          <w:bCs/>
          <w:sz w:val="24"/>
          <w:szCs w:val="24"/>
          <w:lang w:val="en-GB"/>
        </w:rPr>
        <w:t>2. Interpretation of the Convention. The procedure before ECtHR.</w:t>
      </w:r>
    </w:p>
    <w:p w:rsidR="00D32181" w:rsidRPr="00B629E2" w:rsidRDefault="00D32181" w:rsidP="00B629E2">
      <w:pPr>
        <w:pStyle w:val="Odsekzoznamu"/>
        <w:numPr>
          <w:ilvl w:val="0"/>
          <w:numId w:val="32"/>
        </w:numPr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fundamental doctrines of interpretation of the Convention</w:t>
      </w:r>
    </w:p>
    <w:p w:rsidR="00D32181" w:rsidRPr="00B629E2" w:rsidRDefault="00D32181" w:rsidP="00B629E2">
      <w:pPr>
        <w:pStyle w:val="Odsekzoznamu"/>
        <w:numPr>
          <w:ilvl w:val="0"/>
          <w:numId w:val="32"/>
        </w:numPr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applicability of the Vienna Convention on the Law of Treaties on Convention</w:t>
      </w:r>
    </w:p>
    <w:p w:rsidR="00D32181" w:rsidRPr="00B629E2" w:rsidRDefault="00D32181" w:rsidP="00B629E2">
      <w:pPr>
        <w:pStyle w:val="Odsekzoznamu"/>
        <w:numPr>
          <w:ilvl w:val="0"/>
          <w:numId w:val="32"/>
        </w:numPr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procedure before the European Court of Human Rights</w:t>
      </w:r>
    </w:p>
    <w:p w:rsidR="00D32181" w:rsidRPr="00B629E2" w:rsidRDefault="00D32181" w:rsidP="008E4A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32181" w:rsidRPr="00B629E2" w:rsidRDefault="00D32181" w:rsidP="008E4AB7">
      <w:pPr>
        <w:spacing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b/>
          <w:bCs/>
          <w:sz w:val="24"/>
          <w:szCs w:val="24"/>
          <w:lang w:val="en-GB"/>
        </w:rPr>
        <w:t>3. Admissibility of the complaints with a focus on the “victim of violation of rights” condition. The Convention as the living instrument of protection of human rights.</w:t>
      </w:r>
    </w:p>
    <w:p w:rsidR="00D32181" w:rsidRPr="00B629E2" w:rsidRDefault="00D32181" w:rsidP="00B629E2">
      <w:pPr>
        <w:pStyle w:val="Odsekzoznamu"/>
        <w:numPr>
          <w:ilvl w:val="0"/>
          <w:numId w:val="31"/>
        </w:numPr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conditions of admissibility of the complaint and the case-law concerning them</w:t>
      </w:r>
    </w:p>
    <w:p w:rsidR="00D32181" w:rsidRPr="00B629E2" w:rsidRDefault="00D32181" w:rsidP="00B629E2">
      <w:pPr>
        <w:pStyle w:val="Odsekzoznamu"/>
        <w:numPr>
          <w:ilvl w:val="0"/>
          <w:numId w:val="31"/>
        </w:numPr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the philosophical background behind the doctrine of </w:t>
      </w:r>
      <w:r w:rsidR="001A0CBD"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B629E2">
        <w:rPr>
          <w:rFonts w:ascii="Times New Roman" w:hAnsi="Times New Roman" w:cs="Times New Roman"/>
          <w:noProof/>
          <w:sz w:val="24"/>
          <w:szCs w:val="24"/>
          <w:lang w:val="en-GB"/>
        </w:rPr>
        <w:t>living</w:t>
      </w:r>
      <w:r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 convention (evolutive approach to interpretation)</w:t>
      </w:r>
    </w:p>
    <w:p w:rsidR="00D32181" w:rsidRPr="00B629E2" w:rsidRDefault="00D32181" w:rsidP="00B629E2">
      <w:pPr>
        <w:pStyle w:val="Odsekzoznamu"/>
        <w:numPr>
          <w:ilvl w:val="0"/>
          <w:numId w:val="31"/>
        </w:numPr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benefits and disadvantages of the doctrine of </w:t>
      </w:r>
      <w:r w:rsidR="001A0CBD"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B629E2">
        <w:rPr>
          <w:rFonts w:ascii="Times New Roman" w:hAnsi="Times New Roman" w:cs="Times New Roman"/>
          <w:noProof/>
          <w:sz w:val="24"/>
          <w:szCs w:val="24"/>
          <w:lang w:val="en-GB"/>
        </w:rPr>
        <w:t>living</w:t>
      </w:r>
      <w:r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 convention</w:t>
      </w:r>
    </w:p>
    <w:p w:rsidR="00D32181" w:rsidRPr="00B629E2" w:rsidRDefault="00D32181" w:rsidP="008E4A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32181" w:rsidRPr="00B629E2" w:rsidRDefault="00D32181" w:rsidP="008E4AB7">
      <w:pPr>
        <w:spacing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b/>
          <w:bCs/>
          <w:sz w:val="24"/>
          <w:szCs w:val="24"/>
          <w:lang w:val="en-GB"/>
        </w:rPr>
        <w:t>4. Right to life. The doctrine of the margin of appreciation I.</w:t>
      </w:r>
    </w:p>
    <w:p w:rsidR="00D32181" w:rsidRPr="00B629E2" w:rsidRDefault="00D32181" w:rsidP="00B629E2">
      <w:pPr>
        <w:pStyle w:val="Odsekzoznamu"/>
        <w:numPr>
          <w:ilvl w:val="0"/>
          <w:numId w:val="30"/>
        </w:numPr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positive and negative obligation of state while protecting </w:t>
      </w:r>
      <w:r w:rsidR="001A0CBD"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B629E2">
        <w:rPr>
          <w:rFonts w:ascii="Times New Roman" w:hAnsi="Times New Roman" w:cs="Times New Roman"/>
          <w:noProof/>
          <w:sz w:val="24"/>
          <w:szCs w:val="24"/>
          <w:lang w:val="en-GB"/>
        </w:rPr>
        <w:t>right</w:t>
      </w:r>
      <w:r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 to life</w:t>
      </w:r>
      <w:r w:rsidR="00D467DA"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 (shoot-to-kill policy, requirements of </w:t>
      </w:r>
      <w:r w:rsidR="001A0CBD"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D467DA" w:rsidRPr="00B629E2">
        <w:rPr>
          <w:rFonts w:ascii="Times New Roman" w:hAnsi="Times New Roman" w:cs="Times New Roman"/>
          <w:noProof/>
          <w:sz w:val="24"/>
          <w:szCs w:val="24"/>
          <w:lang w:val="en-GB"/>
        </w:rPr>
        <w:t>investigation</w:t>
      </w:r>
      <w:r w:rsidR="00D467DA" w:rsidRPr="00B629E2">
        <w:rPr>
          <w:rFonts w:ascii="Times New Roman" w:hAnsi="Times New Roman" w:cs="Times New Roman"/>
          <w:sz w:val="24"/>
          <w:szCs w:val="24"/>
          <w:lang w:val="en-GB"/>
        </w:rPr>
        <w:t>, etc.)</w:t>
      </w:r>
    </w:p>
    <w:p w:rsidR="00D32181" w:rsidRPr="00B629E2" w:rsidRDefault="00D32181" w:rsidP="00B629E2">
      <w:pPr>
        <w:pStyle w:val="Odsekzoznamu"/>
        <w:numPr>
          <w:ilvl w:val="0"/>
          <w:numId w:val="30"/>
        </w:numPr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Convention and the artificial insemination – </w:t>
      </w:r>
      <w:r w:rsidR="001A0CBD"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B629E2">
        <w:rPr>
          <w:rFonts w:ascii="Times New Roman" w:hAnsi="Times New Roman" w:cs="Times New Roman"/>
          <w:noProof/>
          <w:sz w:val="24"/>
          <w:szCs w:val="24"/>
          <w:lang w:val="en-GB"/>
        </w:rPr>
        <w:t>question</w:t>
      </w:r>
      <w:r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 of the right to life of embryos</w:t>
      </w:r>
    </w:p>
    <w:p w:rsidR="00D32181" w:rsidRPr="00B629E2" w:rsidRDefault="00D32181" w:rsidP="00B629E2">
      <w:pPr>
        <w:pStyle w:val="Odsekzoznamu"/>
        <w:numPr>
          <w:ilvl w:val="0"/>
          <w:numId w:val="30"/>
        </w:numPr>
        <w:spacing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evolution of the doctrine of the margin of appreciation</w:t>
      </w:r>
      <w:r w:rsidR="00D467DA"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 (narrow v. broad margin)</w:t>
      </w:r>
    </w:p>
    <w:p w:rsidR="00D32181" w:rsidRPr="00B629E2" w:rsidRDefault="00D32181" w:rsidP="008E4A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32181" w:rsidRPr="00B629E2" w:rsidRDefault="00D32181" w:rsidP="008E4AB7">
      <w:pPr>
        <w:spacing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b/>
          <w:bCs/>
          <w:sz w:val="24"/>
          <w:szCs w:val="24"/>
          <w:lang w:val="en-GB"/>
        </w:rPr>
        <w:t>5. Right to life. The doctrine of the margin of appreciation II.</w:t>
      </w:r>
    </w:p>
    <w:p w:rsidR="000A605A" w:rsidRPr="00B629E2" w:rsidRDefault="000A605A" w:rsidP="00B629E2">
      <w:pPr>
        <w:pStyle w:val="Odsekzoznamu"/>
        <w:numPr>
          <w:ilvl w:val="0"/>
          <w:numId w:val="29"/>
        </w:numPr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Convention and euthanasia</w:t>
      </w:r>
    </w:p>
    <w:p w:rsidR="000A605A" w:rsidRPr="00B629E2" w:rsidRDefault="000A605A" w:rsidP="00B629E2">
      <w:pPr>
        <w:pStyle w:val="Odsekzoznamu"/>
        <w:numPr>
          <w:ilvl w:val="0"/>
          <w:numId w:val="29"/>
        </w:numPr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Convention and termination of pregnancy</w:t>
      </w:r>
    </w:p>
    <w:p w:rsidR="00D467DA" w:rsidRPr="00B629E2" w:rsidRDefault="00D467DA" w:rsidP="00B629E2">
      <w:pPr>
        <w:pStyle w:val="Odsekzoznamu"/>
        <w:numPr>
          <w:ilvl w:val="0"/>
          <w:numId w:val="29"/>
        </w:numPr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benefits and disadvantages of the doctrine of </w:t>
      </w:r>
      <w:r w:rsidR="001A0CBD"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B629E2">
        <w:rPr>
          <w:rFonts w:ascii="Times New Roman" w:hAnsi="Times New Roman" w:cs="Times New Roman"/>
          <w:noProof/>
          <w:sz w:val="24"/>
          <w:szCs w:val="24"/>
          <w:lang w:val="en-GB"/>
        </w:rPr>
        <w:t>margin</w:t>
      </w:r>
      <w:r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 of interpretation</w:t>
      </w:r>
    </w:p>
    <w:p w:rsidR="00D32181" w:rsidRPr="00B629E2" w:rsidRDefault="00D32181" w:rsidP="008E4A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32181" w:rsidRPr="00B629E2" w:rsidRDefault="00D32181" w:rsidP="008E4AB7">
      <w:pPr>
        <w:spacing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b/>
          <w:bCs/>
          <w:sz w:val="24"/>
          <w:szCs w:val="24"/>
          <w:lang w:val="en-GB"/>
        </w:rPr>
        <w:t>6. Prohibition of torture, inhum</w:t>
      </w:r>
      <w:bookmarkStart w:id="0" w:name="_GoBack"/>
      <w:bookmarkEnd w:id="0"/>
      <w:r w:rsidRPr="00B629E2">
        <w:rPr>
          <w:rFonts w:ascii="Times New Roman" w:hAnsi="Times New Roman" w:cs="Times New Roman"/>
          <w:b/>
          <w:bCs/>
          <w:sz w:val="24"/>
          <w:szCs w:val="24"/>
          <w:lang w:val="en-GB"/>
        </w:rPr>
        <w:t>an and degrading treatment.</w:t>
      </w:r>
    </w:p>
    <w:p w:rsidR="00D32181" w:rsidRPr="00B629E2" w:rsidRDefault="00214A68" w:rsidP="00B629E2">
      <w:pPr>
        <w:pStyle w:val="Odsekzoznamu"/>
        <w:numPr>
          <w:ilvl w:val="0"/>
          <w:numId w:val="28"/>
        </w:numPr>
        <w:spacing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positive and negative obligation not to torture</w:t>
      </w:r>
    </w:p>
    <w:p w:rsidR="00214A68" w:rsidRPr="00B629E2" w:rsidRDefault="00214A68" w:rsidP="00B629E2">
      <w:pPr>
        <w:pStyle w:val="Odsekzoznamu"/>
        <w:numPr>
          <w:ilvl w:val="0"/>
          <w:numId w:val="28"/>
        </w:numPr>
        <w:spacing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absoluteness of the right not to be tortured</w:t>
      </w:r>
    </w:p>
    <w:p w:rsidR="00214A68" w:rsidRPr="00B629E2" w:rsidRDefault="00214A68" w:rsidP="00B629E2">
      <w:pPr>
        <w:pStyle w:val="Odsekzoznamu"/>
        <w:numPr>
          <w:ilvl w:val="0"/>
          <w:numId w:val="28"/>
        </w:numPr>
        <w:spacing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lastRenderedPageBreak/>
        <w:t>case-law of the ECtHR and what constitutes torture</w:t>
      </w:r>
    </w:p>
    <w:p w:rsidR="00D30EA7" w:rsidRPr="00B629E2" w:rsidRDefault="00D30EA7" w:rsidP="008E4AB7">
      <w:pPr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32181" w:rsidRPr="00B629E2" w:rsidRDefault="00D32181" w:rsidP="008E4AB7">
      <w:pPr>
        <w:spacing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7. Right to liberty and security, no punishment without law with a focus on </w:t>
      </w:r>
      <w:r w:rsidRPr="00B629E2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t>aretroactivity</w:t>
      </w:r>
      <w:r w:rsidRPr="00B629E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of the punishment.</w:t>
      </w:r>
    </w:p>
    <w:p w:rsidR="00D30EA7" w:rsidRPr="00B629E2" w:rsidRDefault="00D30EA7" w:rsidP="00B629E2">
      <w:pPr>
        <w:pStyle w:val="Odsekzoznamu"/>
        <w:numPr>
          <w:ilvl w:val="1"/>
          <w:numId w:val="2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roots of the right to liberty and its casuistic wording in the Convention</w:t>
      </w:r>
    </w:p>
    <w:p w:rsidR="00D30EA7" w:rsidRPr="00B629E2" w:rsidRDefault="00D30EA7" w:rsidP="00B629E2">
      <w:pPr>
        <w:pStyle w:val="Odsekzoznamu"/>
        <w:numPr>
          <w:ilvl w:val="1"/>
          <w:numId w:val="2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legitimate restrictions of the right to liberty</w:t>
      </w:r>
    </w:p>
    <w:p w:rsidR="00D30EA7" w:rsidRPr="00B629E2" w:rsidRDefault="00D30EA7" w:rsidP="00B629E2">
      <w:pPr>
        <w:pStyle w:val="Odsekzoznamu"/>
        <w:numPr>
          <w:ilvl w:val="1"/>
          <w:numId w:val="2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retroactivity and transition to justice</w:t>
      </w:r>
    </w:p>
    <w:p w:rsidR="00D32181" w:rsidRPr="00B629E2" w:rsidRDefault="00D32181" w:rsidP="008E4A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32181" w:rsidRPr="00B629E2" w:rsidRDefault="00D32181" w:rsidP="008E4AB7">
      <w:pPr>
        <w:spacing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b/>
          <w:bCs/>
          <w:sz w:val="24"/>
          <w:szCs w:val="24"/>
          <w:lang w:val="en-GB"/>
        </w:rPr>
        <w:t>8. Right to a fair trial.</w:t>
      </w:r>
    </w:p>
    <w:p w:rsidR="00365A49" w:rsidRPr="00B629E2" w:rsidRDefault="00365A49" w:rsidP="00B629E2">
      <w:pPr>
        <w:pStyle w:val="Odsekzoznamu"/>
        <w:numPr>
          <w:ilvl w:val="0"/>
          <w:numId w:val="26"/>
        </w:numPr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importance of </w:t>
      </w:r>
      <w:r w:rsidRPr="00B629E2">
        <w:rPr>
          <w:rFonts w:ascii="Times New Roman" w:hAnsi="Times New Roman" w:cs="Times New Roman"/>
          <w:noProof/>
          <w:sz w:val="24"/>
          <w:szCs w:val="24"/>
          <w:lang w:val="en-GB"/>
        </w:rPr>
        <w:t>procedural</w:t>
      </w:r>
      <w:r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 rights</w:t>
      </w:r>
    </w:p>
    <w:p w:rsidR="00365A49" w:rsidRPr="00B629E2" w:rsidRDefault="001A0CBD" w:rsidP="00B629E2">
      <w:pPr>
        <w:pStyle w:val="Odsekzoznamu"/>
        <w:numPr>
          <w:ilvl w:val="0"/>
          <w:numId w:val="26"/>
        </w:numPr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365A49" w:rsidRPr="00B629E2">
        <w:rPr>
          <w:rFonts w:ascii="Times New Roman" w:hAnsi="Times New Roman" w:cs="Times New Roman"/>
          <w:noProof/>
          <w:sz w:val="24"/>
          <w:szCs w:val="24"/>
          <w:lang w:val="en-GB"/>
        </w:rPr>
        <w:t>scope</w:t>
      </w:r>
      <w:r w:rsidR="00365A49"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 of the right (no criminal law, limited </w:t>
      </w:r>
      <w:r w:rsidR="003C2293" w:rsidRPr="00B629E2">
        <w:rPr>
          <w:rFonts w:ascii="Times New Roman" w:hAnsi="Times New Roman" w:cs="Times New Roman"/>
          <w:sz w:val="24"/>
          <w:szCs w:val="24"/>
          <w:lang w:val="en-GB"/>
        </w:rPr>
        <w:t>access for public officials)</w:t>
      </w:r>
    </w:p>
    <w:p w:rsidR="003C2293" w:rsidRPr="00B629E2" w:rsidRDefault="003C2293" w:rsidP="00B629E2">
      <w:pPr>
        <w:pStyle w:val="Odsekzoznamu"/>
        <w:numPr>
          <w:ilvl w:val="0"/>
          <w:numId w:val="26"/>
        </w:numPr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case-law concerning each guarantee of the fair trial</w:t>
      </w:r>
    </w:p>
    <w:p w:rsidR="00D32181" w:rsidRPr="00B629E2" w:rsidRDefault="00D32181" w:rsidP="008E4A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32181" w:rsidRPr="00B629E2" w:rsidRDefault="00D32181" w:rsidP="008E4AB7">
      <w:pPr>
        <w:spacing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b/>
          <w:bCs/>
          <w:sz w:val="24"/>
          <w:szCs w:val="24"/>
          <w:lang w:val="en-GB"/>
        </w:rPr>
        <w:t>9. Right to private and family life. The doctrine of proportionality in the jurisprudence of the ECtHR.</w:t>
      </w:r>
    </w:p>
    <w:p w:rsidR="00D32181" w:rsidRPr="00B629E2" w:rsidRDefault="00995EAD" w:rsidP="00B629E2">
      <w:pPr>
        <w:pStyle w:val="Odsekzoznamu"/>
        <w:numPr>
          <w:ilvl w:val="0"/>
          <w:numId w:val="25"/>
        </w:numPr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evolution of the concept of the private and family right and the change of the scope of the Art. 8 of the Convention</w:t>
      </w:r>
    </w:p>
    <w:p w:rsidR="00995EAD" w:rsidRPr="00B629E2" w:rsidRDefault="00995EAD" w:rsidP="00B629E2">
      <w:pPr>
        <w:pStyle w:val="Odsekzoznamu"/>
        <w:numPr>
          <w:ilvl w:val="0"/>
          <w:numId w:val="25"/>
        </w:numPr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legitimate restrictions of the right to privacy and the new dynamics of the right of privacy</w:t>
      </w:r>
    </w:p>
    <w:p w:rsidR="00995EAD" w:rsidRPr="00B629E2" w:rsidRDefault="00995EAD" w:rsidP="00B629E2">
      <w:pPr>
        <w:pStyle w:val="Odsekzoznamu"/>
        <w:numPr>
          <w:ilvl w:val="0"/>
          <w:numId w:val="25"/>
        </w:numPr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evolution of the doctrine of proportionality and the way it is tested</w:t>
      </w:r>
    </w:p>
    <w:p w:rsidR="00995EAD" w:rsidRPr="00B629E2" w:rsidRDefault="00995EAD" w:rsidP="008E4AB7">
      <w:pPr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32181" w:rsidRPr="00B629E2" w:rsidRDefault="00D32181" w:rsidP="008E4AB7">
      <w:pPr>
        <w:spacing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b/>
          <w:bCs/>
          <w:sz w:val="24"/>
          <w:szCs w:val="24"/>
          <w:lang w:val="en-GB"/>
        </w:rPr>
        <w:t>10. Freedom of religion.</w:t>
      </w:r>
    </w:p>
    <w:p w:rsidR="00D32181" w:rsidRPr="00B629E2" w:rsidRDefault="00813F14" w:rsidP="00B629E2">
      <w:pPr>
        <w:pStyle w:val="Odsekzoznamu"/>
        <w:numPr>
          <w:ilvl w:val="0"/>
          <w:numId w:val="24"/>
        </w:numPr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the origins of the freedom of religion</w:t>
      </w:r>
      <w:r w:rsidR="00F23B91"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813F14" w:rsidRPr="00B629E2" w:rsidRDefault="001A0CBD" w:rsidP="00B629E2">
      <w:pPr>
        <w:pStyle w:val="Odsekzoznamu"/>
        <w:numPr>
          <w:ilvl w:val="0"/>
          <w:numId w:val="24"/>
        </w:numPr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813F14" w:rsidRPr="00B629E2">
        <w:rPr>
          <w:rFonts w:ascii="Times New Roman" w:hAnsi="Times New Roman" w:cs="Times New Roman"/>
          <w:noProof/>
          <w:sz w:val="24"/>
          <w:szCs w:val="24"/>
          <w:lang w:val="en-GB"/>
        </w:rPr>
        <w:t>legitimacy</w:t>
      </w:r>
      <w:r w:rsidR="00813F14"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 of restriction of the freedom of religion and secularism, security, fraternity, etc.</w:t>
      </w:r>
    </w:p>
    <w:p w:rsidR="00813F14" w:rsidRPr="00B629E2" w:rsidRDefault="00813F14" w:rsidP="00B629E2">
      <w:pPr>
        <w:pStyle w:val="Odsekzoznamu"/>
        <w:numPr>
          <w:ilvl w:val="0"/>
          <w:numId w:val="24"/>
        </w:numPr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case-law of the ECtHR in the field of the freedom of religion</w:t>
      </w:r>
    </w:p>
    <w:p w:rsidR="00F23B91" w:rsidRPr="00B629E2" w:rsidRDefault="00F23B91" w:rsidP="008E4A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32181" w:rsidRPr="00B629E2" w:rsidRDefault="00D32181" w:rsidP="008E4AB7">
      <w:pPr>
        <w:spacing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b/>
          <w:bCs/>
          <w:sz w:val="24"/>
          <w:szCs w:val="24"/>
          <w:lang w:val="en-GB"/>
        </w:rPr>
        <w:t>11. Freedom of expression.</w:t>
      </w:r>
    </w:p>
    <w:p w:rsidR="00813F14" w:rsidRPr="00B629E2" w:rsidRDefault="00813F14" w:rsidP="00B629E2">
      <w:pPr>
        <w:pStyle w:val="Odsekzoznamu"/>
        <w:numPr>
          <w:ilvl w:val="0"/>
          <w:numId w:val="23"/>
        </w:numPr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importance of the freedom of expression and the new challenges to freedom of expression</w:t>
      </w:r>
    </w:p>
    <w:p w:rsidR="00813F14" w:rsidRPr="00B629E2" w:rsidRDefault="00813F14" w:rsidP="00B629E2">
      <w:pPr>
        <w:pStyle w:val="Odsekzoznamu"/>
        <w:numPr>
          <w:ilvl w:val="0"/>
          <w:numId w:val="23"/>
        </w:numPr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restrictions of the freedom of expression (with </w:t>
      </w:r>
      <w:r w:rsidR="001A0CBD"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B629E2">
        <w:rPr>
          <w:rFonts w:ascii="Times New Roman" w:hAnsi="Times New Roman" w:cs="Times New Roman"/>
          <w:noProof/>
          <w:sz w:val="24"/>
          <w:szCs w:val="24"/>
          <w:lang w:val="en-GB"/>
        </w:rPr>
        <w:t>focus</w:t>
      </w:r>
      <w:r w:rsidRPr="00B629E2">
        <w:rPr>
          <w:rFonts w:ascii="Times New Roman" w:hAnsi="Times New Roman" w:cs="Times New Roman"/>
          <w:sz w:val="24"/>
          <w:szCs w:val="24"/>
          <w:lang w:val="en-GB"/>
        </w:rPr>
        <w:t xml:space="preserve"> on hate speech, </w:t>
      </w:r>
      <w:r w:rsidR="00EA4010" w:rsidRPr="00B629E2">
        <w:rPr>
          <w:rFonts w:ascii="Times New Roman" w:hAnsi="Times New Roman" w:cs="Times New Roman"/>
          <w:sz w:val="24"/>
          <w:szCs w:val="24"/>
          <w:lang w:val="en-GB"/>
        </w:rPr>
        <w:t>morality and security of the state)</w:t>
      </w:r>
    </w:p>
    <w:p w:rsidR="00813F14" w:rsidRPr="00B629E2" w:rsidRDefault="00EA4010" w:rsidP="00B629E2">
      <w:pPr>
        <w:pStyle w:val="Odsekzoznamu"/>
        <w:numPr>
          <w:ilvl w:val="0"/>
          <w:numId w:val="23"/>
        </w:numPr>
        <w:spacing w:line="240" w:lineRule="auto"/>
        <w:ind w:left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629E2">
        <w:rPr>
          <w:rFonts w:ascii="Times New Roman" w:hAnsi="Times New Roman" w:cs="Times New Roman"/>
          <w:sz w:val="24"/>
          <w:szCs w:val="24"/>
          <w:lang w:val="en-GB"/>
        </w:rPr>
        <w:t>case-law of the ECtHR in the field of the freedom of expression</w:t>
      </w:r>
    </w:p>
    <w:sectPr w:rsidR="00813F14" w:rsidRPr="00B629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5BBF" w:rsidRDefault="006A5BBF" w:rsidP="00B629E2">
      <w:pPr>
        <w:spacing w:after="0" w:line="240" w:lineRule="auto"/>
      </w:pPr>
      <w:r>
        <w:separator/>
      </w:r>
    </w:p>
  </w:endnote>
  <w:endnote w:type="continuationSeparator" w:id="0">
    <w:p w:rsidR="006A5BBF" w:rsidRDefault="006A5BBF" w:rsidP="00B62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5BBF" w:rsidRDefault="006A5BBF" w:rsidP="00B629E2">
      <w:pPr>
        <w:spacing w:after="0" w:line="240" w:lineRule="auto"/>
      </w:pPr>
      <w:r>
        <w:separator/>
      </w:r>
    </w:p>
  </w:footnote>
  <w:footnote w:type="continuationSeparator" w:id="0">
    <w:p w:rsidR="006A5BBF" w:rsidRDefault="006A5BBF" w:rsidP="00B629E2">
      <w:pPr>
        <w:spacing w:after="0" w:line="240" w:lineRule="auto"/>
      </w:pPr>
      <w:r>
        <w:continuationSeparator/>
      </w:r>
    </w:p>
  </w:footnote>
  <w:footnote w:id="1">
    <w:p w:rsidR="00B629E2" w:rsidRPr="00B629E2" w:rsidRDefault="00B629E2" w:rsidP="00B629E2">
      <w:pPr>
        <w:pStyle w:val="Textpoznmkypodiarou"/>
        <w:rPr>
          <w:lang w:val="en-GB"/>
        </w:rPr>
      </w:pPr>
      <w:r w:rsidRPr="00B629E2">
        <w:rPr>
          <w:rStyle w:val="Odkaznapoznmkupodiarou"/>
          <w:rFonts w:ascii="Times New Roman" w:hAnsi="Times New Roman"/>
          <w:lang w:val="en-GB"/>
        </w:rPr>
        <w:footnoteRef/>
      </w:r>
      <w:r w:rsidRPr="00B629E2">
        <w:rPr>
          <w:rFonts w:ascii="Times New Roman" w:hAnsi="Times New Roman"/>
          <w:lang w:val="en-GB"/>
        </w:rPr>
        <w:t xml:space="preserve"> </w:t>
      </w:r>
      <w:r w:rsidRPr="00B629E2">
        <w:rPr>
          <w:rFonts w:ascii="Times New Roman" w:hAnsi="Times New Roman"/>
          <w:lang w:val="en-GB"/>
        </w:rPr>
        <w:t xml:space="preserve">Each week considers one topic. Part time </w:t>
      </w:r>
      <w:proofErr w:type="gramStart"/>
      <w:r w:rsidRPr="00B629E2">
        <w:rPr>
          <w:rFonts w:ascii="Times New Roman" w:hAnsi="Times New Roman"/>
          <w:lang w:val="en-GB"/>
        </w:rPr>
        <w:t>students</w:t>
      </w:r>
      <w:proofErr w:type="gramEnd"/>
      <w:r w:rsidRPr="00B629E2">
        <w:rPr>
          <w:rFonts w:ascii="Times New Roman" w:hAnsi="Times New Roman"/>
          <w:lang w:val="en-GB"/>
        </w:rPr>
        <w:t xml:space="preserve"> program will be </w:t>
      </w:r>
      <w:proofErr w:type="spellStart"/>
      <w:r w:rsidRPr="00B629E2">
        <w:rPr>
          <w:rFonts w:ascii="Times New Roman" w:hAnsi="Times New Roman"/>
          <w:lang w:val="en-GB"/>
        </w:rPr>
        <w:t>accomodated</w:t>
      </w:r>
      <w:proofErr w:type="spellEnd"/>
      <w:r w:rsidRPr="00B629E2">
        <w:rPr>
          <w:rFonts w:ascii="Times New Roman" w:hAnsi="Times New Roman"/>
          <w:lang w:val="en-GB"/>
        </w:rPr>
        <w:t xml:space="preserve"> at to their schedule.</w:t>
      </w:r>
      <w:r w:rsidRPr="00B629E2">
        <w:rPr>
          <w:lang w:val="en-GB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0669C"/>
    <w:multiLevelType w:val="hybridMultilevel"/>
    <w:tmpl w:val="766ED044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45B5A"/>
    <w:multiLevelType w:val="hybridMultilevel"/>
    <w:tmpl w:val="B504109C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440EA"/>
    <w:multiLevelType w:val="hybridMultilevel"/>
    <w:tmpl w:val="03A06CDE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97DDC"/>
    <w:multiLevelType w:val="hybridMultilevel"/>
    <w:tmpl w:val="55922A3E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B0B43"/>
    <w:multiLevelType w:val="hybridMultilevel"/>
    <w:tmpl w:val="7DB88D1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C45B8"/>
    <w:multiLevelType w:val="hybridMultilevel"/>
    <w:tmpl w:val="1B505258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727A205A"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B558B"/>
    <w:multiLevelType w:val="hybridMultilevel"/>
    <w:tmpl w:val="8CAAC77A"/>
    <w:lvl w:ilvl="0" w:tplc="48DEC44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F1062"/>
    <w:multiLevelType w:val="hybridMultilevel"/>
    <w:tmpl w:val="D0A03916"/>
    <w:lvl w:ilvl="0" w:tplc="9CD069D6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6698E"/>
    <w:multiLevelType w:val="hybridMultilevel"/>
    <w:tmpl w:val="770A1CF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0504B"/>
    <w:multiLevelType w:val="hybridMultilevel"/>
    <w:tmpl w:val="303851F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34B07"/>
    <w:multiLevelType w:val="hybridMultilevel"/>
    <w:tmpl w:val="E102BB38"/>
    <w:lvl w:ilvl="0" w:tplc="706C82A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865FA9"/>
    <w:multiLevelType w:val="hybridMultilevel"/>
    <w:tmpl w:val="405A4A8C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46775"/>
    <w:multiLevelType w:val="hybridMultilevel"/>
    <w:tmpl w:val="6292FFE8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DA2DD5"/>
    <w:multiLevelType w:val="hybridMultilevel"/>
    <w:tmpl w:val="F7F62F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A5061"/>
    <w:multiLevelType w:val="hybridMultilevel"/>
    <w:tmpl w:val="B78AD66C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6A4CBC"/>
    <w:multiLevelType w:val="hybridMultilevel"/>
    <w:tmpl w:val="006A4A7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724A12"/>
    <w:multiLevelType w:val="hybridMultilevel"/>
    <w:tmpl w:val="C4D236AE"/>
    <w:lvl w:ilvl="0" w:tplc="F5AC8F8E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464D4A"/>
    <w:multiLevelType w:val="hybridMultilevel"/>
    <w:tmpl w:val="B3B244B8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FA2C85"/>
    <w:multiLevelType w:val="hybridMultilevel"/>
    <w:tmpl w:val="217C05AE"/>
    <w:lvl w:ilvl="0" w:tplc="00A4F6EA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CC5182"/>
    <w:multiLevelType w:val="hybridMultilevel"/>
    <w:tmpl w:val="C4241EA2"/>
    <w:lvl w:ilvl="0" w:tplc="A348A5B6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E8366C"/>
    <w:multiLevelType w:val="hybridMultilevel"/>
    <w:tmpl w:val="2140EC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4D4E79"/>
    <w:multiLevelType w:val="hybridMultilevel"/>
    <w:tmpl w:val="941EC72A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7C5BB2"/>
    <w:multiLevelType w:val="hybridMultilevel"/>
    <w:tmpl w:val="126E583C"/>
    <w:lvl w:ilvl="0" w:tplc="41FA752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013CD6"/>
    <w:multiLevelType w:val="hybridMultilevel"/>
    <w:tmpl w:val="18DC2540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581051"/>
    <w:multiLevelType w:val="hybridMultilevel"/>
    <w:tmpl w:val="70468E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2A32CD"/>
    <w:multiLevelType w:val="hybridMultilevel"/>
    <w:tmpl w:val="539E239C"/>
    <w:lvl w:ilvl="0" w:tplc="544E9C0E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2F1498"/>
    <w:multiLevelType w:val="hybridMultilevel"/>
    <w:tmpl w:val="4C8ACB34"/>
    <w:lvl w:ilvl="0" w:tplc="0C9AD712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5B0F53"/>
    <w:multiLevelType w:val="hybridMultilevel"/>
    <w:tmpl w:val="4BF0B4B4"/>
    <w:lvl w:ilvl="0" w:tplc="7FBA92BA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2471AF"/>
    <w:multiLevelType w:val="hybridMultilevel"/>
    <w:tmpl w:val="2F6826C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727A205A"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7F6D48"/>
    <w:multiLevelType w:val="hybridMultilevel"/>
    <w:tmpl w:val="6D12BE36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106D3B"/>
    <w:multiLevelType w:val="hybridMultilevel"/>
    <w:tmpl w:val="74C4222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901BCA"/>
    <w:multiLevelType w:val="hybridMultilevel"/>
    <w:tmpl w:val="8856E62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2"/>
  </w:num>
  <w:num w:numId="3">
    <w:abstractNumId w:val="1"/>
  </w:num>
  <w:num w:numId="4">
    <w:abstractNumId w:val="18"/>
  </w:num>
  <w:num w:numId="5">
    <w:abstractNumId w:val="17"/>
  </w:num>
  <w:num w:numId="6">
    <w:abstractNumId w:val="25"/>
  </w:num>
  <w:num w:numId="7">
    <w:abstractNumId w:val="11"/>
  </w:num>
  <w:num w:numId="8">
    <w:abstractNumId w:val="10"/>
  </w:num>
  <w:num w:numId="9">
    <w:abstractNumId w:val="2"/>
  </w:num>
  <w:num w:numId="10">
    <w:abstractNumId w:val="27"/>
  </w:num>
  <w:num w:numId="11">
    <w:abstractNumId w:val="23"/>
  </w:num>
  <w:num w:numId="12">
    <w:abstractNumId w:val="16"/>
  </w:num>
  <w:num w:numId="13">
    <w:abstractNumId w:val="14"/>
  </w:num>
  <w:num w:numId="14">
    <w:abstractNumId w:val="19"/>
  </w:num>
  <w:num w:numId="15">
    <w:abstractNumId w:val="0"/>
  </w:num>
  <w:num w:numId="16">
    <w:abstractNumId w:val="7"/>
  </w:num>
  <w:num w:numId="17">
    <w:abstractNumId w:val="3"/>
  </w:num>
  <w:num w:numId="18">
    <w:abstractNumId w:val="26"/>
  </w:num>
  <w:num w:numId="19">
    <w:abstractNumId w:val="5"/>
  </w:num>
  <w:num w:numId="20">
    <w:abstractNumId w:val="6"/>
  </w:num>
  <w:num w:numId="21">
    <w:abstractNumId w:val="12"/>
  </w:num>
  <w:num w:numId="22">
    <w:abstractNumId w:val="8"/>
  </w:num>
  <w:num w:numId="23">
    <w:abstractNumId w:val="13"/>
  </w:num>
  <w:num w:numId="24">
    <w:abstractNumId w:val="15"/>
  </w:num>
  <w:num w:numId="25">
    <w:abstractNumId w:val="4"/>
  </w:num>
  <w:num w:numId="26">
    <w:abstractNumId w:val="31"/>
  </w:num>
  <w:num w:numId="27">
    <w:abstractNumId w:val="21"/>
  </w:num>
  <w:num w:numId="28">
    <w:abstractNumId w:val="28"/>
  </w:num>
  <w:num w:numId="29">
    <w:abstractNumId w:val="24"/>
  </w:num>
  <w:num w:numId="30">
    <w:abstractNumId w:val="20"/>
  </w:num>
  <w:num w:numId="31">
    <w:abstractNumId w:val="9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KzMDG3MDQxNjQ3MjZU0lEKTi0uzszPAykwrQUA0ZOCvywAAAA="/>
  </w:docVars>
  <w:rsids>
    <w:rsidRoot w:val="00D32181"/>
    <w:rsid w:val="00052E36"/>
    <w:rsid w:val="000A605A"/>
    <w:rsid w:val="001A0CBD"/>
    <w:rsid w:val="00214A68"/>
    <w:rsid w:val="00323A2E"/>
    <w:rsid w:val="00365A49"/>
    <w:rsid w:val="003C2293"/>
    <w:rsid w:val="006A5BBF"/>
    <w:rsid w:val="00773EEB"/>
    <w:rsid w:val="00804E68"/>
    <w:rsid w:val="00813F14"/>
    <w:rsid w:val="008E4AB7"/>
    <w:rsid w:val="00995EAD"/>
    <w:rsid w:val="009D3154"/>
    <w:rsid w:val="00A85E1A"/>
    <w:rsid w:val="00B629E2"/>
    <w:rsid w:val="00CC6D8A"/>
    <w:rsid w:val="00D30EA7"/>
    <w:rsid w:val="00D32181"/>
    <w:rsid w:val="00D467DA"/>
    <w:rsid w:val="00EA4010"/>
    <w:rsid w:val="00F23B91"/>
    <w:rsid w:val="00F62598"/>
    <w:rsid w:val="00FA6EE8"/>
    <w:rsid w:val="00FE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6629A"/>
  <w15:chartTrackingRefBased/>
  <w15:docId w15:val="{9F7191FB-DAE1-4436-8DAD-1456165B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32181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629E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629E2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629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berdajev</dc:creator>
  <cp:keywords/>
  <dc:description/>
  <cp:lastModifiedBy>berdajev</cp:lastModifiedBy>
  <cp:revision>2</cp:revision>
  <dcterms:created xsi:type="dcterms:W3CDTF">2019-09-02T07:04:00Z</dcterms:created>
  <dcterms:modified xsi:type="dcterms:W3CDTF">2019-09-02T07:04:00Z</dcterms:modified>
</cp:coreProperties>
</file>